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AC433">
      <w:pPr>
        <w:pStyle w:val="8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2"/>
      <w:bookmarkStart w:id="1" w:name="OLE_LINK11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14bis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503776</w:t>
      </w:r>
      <w:r>
        <w:rPr>
          <w:b/>
          <w:sz w:val="24"/>
          <w:szCs w:val="24"/>
          <w:highlight w:val="none"/>
        </w:rPr>
        <w:t xml:space="preserve">                          </w:t>
      </w:r>
    </w:p>
    <w:bookmarkEnd w:id="0"/>
    <w:bookmarkEnd w:id="1"/>
    <w:p w14:paraId="5C25862B">
      <w:pPr>
        <w:pStyle w:val="8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sz w:val="24"/>
          <w:highlight w:val="none"/>
        </w:rPr>
        <w:t>Wuhan, Hubei, China, 07</w:t>
      </w:r>
      <w:r>
        <w:rPr>
          <w:rFonts w:hint="default" w:ascii="Times New Roman" w:hAnsi="Times New Roman" w:cs="Times New Roman"/>
          <w:b/>
          <w:bCs/>
          <w:sz w:val="24"/>
          <w:highlight w:val="none"/>
          <w:vertAlign w:val="superscript"/>
        </w:rPr>
        <w:t>th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– 11</w:t>
      </w:r>
      <w:r>
        <w:rPr>
          <w:rFonts w:hint="default" w:ascii="Times New Roman" w:hAnsi="Times New Roman" w:cs="Times New Roman"/>
          <w:b/>
          <w:bCs/>
          <w:sz w:val="24"/>
          <w:highlight w:val="none"/>
          <w:vertAlign w:val="superscript"/>
        </w:rPr>
        <w:t>th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April, 2025</w:t>
      </w:r>
    </w:p>
    <w:p w14:paraId="25DD33A5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4D850D59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21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2.2</w:t>
      </w:r>
    </w:p>
    <w:p w14:paraId="34FDAAB4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2CC4585F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4"/>
      <w:bookmarkStart w:id="3" w:name="OLE_LINK23"/>
      <w:bookmarkStart w:id="4" w:name="OLE_LINK8"/>
      <w:bookmarkStart w:id="5" w:name="OLE_LINK7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bookmarkEnd w:id="2"/>
      <w:bookmarkEnd w:id="3"/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RAN4 impacts for measurement event prediction</w:t>
      </w:r>
    </w:p>
    <w:bookmarkEnd w:id="4"/>
    <w:bookmarkEnd w:id="5"/>
    <w:p w14:paraId="0006DBE2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15C959FF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A1774DF">
      <w:pPr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105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revised S</w:t>
      </w:r>
      <w:r>
        <w:rPr>
          <w:rFonts w:ascii="Times New Roman" w:hAnsi="Times New Roman"/>
          <w:sz w:val="20"/>
          <w:szCs w:val="20"/>
        </w:rPr>
        <w:t xml:space="preserve">ID on </w:t>
      </w:r>
      <w:r>
        <w:rPr>
          <w:rFonts w:hint="eastAsia" w:ascii="Times New Roman" w:hAnsi="Times New Roman"/>
          <w:sz w:val="20"/>
          <w:szCs w:val="20"/>
        </w:rPr>
        <w:t>AI (Artificial Intelligence)/ML (Machine Learning) for mobility in NR</w:t>
      </w:r>
      <w:r>
        <w:rPr>
          <w:rFonts w:ascii="Times New Roman" w:hAnsi="Times New Roman"/>
          <w:sz w:val="20"/>
          <w:szCs w:val="20"/>
        </w:rPr>
        <w:t xml:space="preserve"> was approved [1]. The objectives for RAN4 are duplicated as following.</w:t>
      </w:r>
    </w:p>
    <w:tbl>
      <w:tblPr>
        <w:tblStyle w:val="9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03F30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0" w:type="dxa"/>
            <w:noWrap w:val="0"/>
            <w:vAlign w:val="top"/>
          </w:tcPr>
          <w:p w14:paraId="18A7EA0D">
            <w:pPr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ind w:hanging="357"/>
              <w:jc w:val="both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bookmarkStart w:id="6" w:name="_Hlk153472406"/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  <w:t>Evaluate testability, interoperability,</w:t>
            </w:r>
            <w:bookmarkEnd w:id="6"/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and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impacts on RRM requirements and performance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[RAN4]</w:t>
            </w:r>
          </w:p>
          <w:p w14:paraId="5CB11B01">
            <w:pPr>
              <w:widowControl w:val="0"/>
              <w:numPr>
                <w:ilvl w:val="1"/>
                <w:numId w:val="4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 xml:space="preserve">Study the impacts on requirements based on RAN2 assumptions, and coordinate with RAN2 if needed </w:t>
            </w:r>
          </w:p>
          <w:p w14:paraId="46918C95">
            <w:pPr>
              <w:widowControl w:val="0"/>
              <w:numPr>
                <w:ilvl w:val="1"/>
                <w:numId w:val="4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>Study the testability and interoperability based on RAN2 framework (e.g., number of cells to measure, beams etc.)</w:t>
            </w:r>
          </w:p>
          <w:p w14:paraId="0DDA5A89">
            <w:pPr>
              <w:pStyle w:val="12"/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 xml:space="preserve">NOTE 4: Leverage the work from “AI/ML for NR air interface” led by RAN1 and avoid the duplicate study for testability and interoperability. </w:t>
            </w:r>
          </w:p>
          <w:p w14:paraId="2F32914E">
            <w:pPr>
              <w:pStyle w:val="12"/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>NOTE 5: Avoid the overlaps with RAN2 work for evaluation</w:t>
            </w:r>
          </w:p>
          <w:p w14:paraId="60C3DB0A"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64217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last meeting, there was discussion o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n AI/ML for mobility, an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d a WF was agreed [2]. It was agreed that RAN4 will start the discussion on measurement event prediction use case in RAN4#114bis meeting.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 xml:space="preserve">his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meeting is the first meeting that RAN4 discuss RAN4 impacts for measurement event prediction. This </w:t>
      </w:r>
      <w:r>
        <w:rPr>
          <w:rFonts w:hint="eastAsia" w:ascii="Times New Roman" w:hAnsi="Times New Roman"/>
          <w:sz w:val="20"/>
          <w:szCs w:val="20"/>
        </w:rPr>
        <w:t>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initial </w:t>
      </w:r>
      <w:r>
        <w:rPr>
          <w:rFonts w:hint="eastAsia" w:ascii="Times New Roman" w:hAnsi="Times New Roman"/>
          <w:sz w:val="20"/>
          <w:szCs w:val="20"/>
        </w:rPr>
        <w:t>discussion 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the topic</w:t>
      </w:r>
      <w:r>
        <w:rPr>
          <w:rFonts w:hint="eastAsia" w:ascii="Times New Roman" w:hAnsi="Times New Roman"/>
          <w:sz w:val="20"/>
          <w:szCs w:val="20"/>
        </w:rPr>
        <w:t>.</w:t>
      </w:r>
    </w:p>
    <w:p w14:paraId="17263EFA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7" w:name="OLE_LINK2"/>
      <w:bookmarkStart w:id="8" w:name="OLE_LINK1"/>
      <w:r>
        <w:rPr>
          <w:rFonts w:ascii="Times New Roman" w:hAnsi="Times New Roman"/>
          <w:i/>
          <w:sz w:val="20"/>
          <w:szCs w:val="20"/>
        </w:rPr>
        <w:t xml:space="preserve"> </w:t>
      </w:r>
    </w:p>
    <w:p w14:paraId="1D368F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  <w:t xml:space="preserve">According to the RAN2 agreements, for measurement event prediction, event A3 is taken as baseline. Both </w:t>
      </w:r>
      <w:r>
        <w:rPr>
          <w:rFonts w:hint="default" w:ascii="Times New Roman" w:hAnsi="Times New Roman" w:cs="Times New Roman"/>
          <w:b w:val="0"/>
          <w:bCs/>
          <w:sz w:val="20"/>
          <w:szCs w:val="20"/>
        </w:rPr>
        <w:t>indirect measurement event prediction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 w:val="0"/>
          <w:bCs/>
          <w:sz w:val="20"/>
          <w:szCs w:val="20"/>
        </w:rPr>
        <w:t>direct measurement event prediction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val="en-US" w:eastAsia="zh-CN"/>
        </w:rPr>
        <w:t xml:space="preserve"> are supported.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132B6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744CD3BF">
            <w:pPr>
              <w:spacing w:before="240" w:after="160" w:line="280" w:lineRule="atLeast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  <w:t>Agreements</w:t>
            </w: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  <w:t>in RAN2#12</w:t>
            </w: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  <w:t>bis:</w:t>
            </w:r>
          </w:p>
          <w:p w14:paraId="5AE422DD">
            <w:pPr>
              <w:numPr>
                <w:ilvl w:val="0"/>
                <w:numId w:val="5"/>
              </w:numPr>
              <w:spacing w:before="240" w:after="160" w:line="280" w:lineRule="atLeast"/>
              <w:ind w:left="420" w:leftChars="0" w:hanging="420" w:firstLineChars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u w:val="none"/>
                <w:lang w:val="en-US" w:eastAsia="zh-CN"/>
              </w:rPr>
              <w:t xml:space="preserve">At least measurement event evaluation based on RRM measurement prediction result will be studied.   Direct measurement event prediction are is also allowed.    </w:t>
            </w:r>
          </w:p>
          <w:p w14:paraId="25C0EA35">
            <w:pPr>
              <w:numPr>
                <w:ilvl w:val="0"/>
                <w:numId w:val="5"/>
              </w:numPr>
              <w:spacing w:before="240" w:after="160" w:line="280" w:lineRule="atLeast"/>
              <w:ind w:left="420" w:leftChars="0" w:hanging="420" w:firstLineChars="0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u w:val="none"/>
                <w:lang w:val="en-US" w:eastAsia="zh-CN"/>
              </w:rPr>
              <w:t xml:space="preserve">Start with A3 as a baseline. </w:t>
            </w:r>
          </w:p>
          <w:p w14:paraId="141ACAD4">
            <w:pPr>
              <w:spacing w:before="240" w:after="160" w:line="280" w:lineRule="atLeast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  <w:t>Agreements in RAN2#127bis</w:t>
            </w:r>
          </w:p>
          <w:p w14:paraId="3EA98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  <w:t>Agreements</w:t>
            </w:r>
          </w:p>
          <w:p w14:paraId="7FA583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 xml:space="preserve">Measurement event prediction simulations will at least focus on intra-frequency FR2, case A, and second study goal (i.e. HO KPI improvement).   FFS what is KPI.  </w:t>
            </w:r>
          </w:p>
          <w:p w14:paraId="5B0C20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 xml:space="preserve">Companies can bring simulation results for intra-frequency measurement reduction for FR1 and report what they are doing.  Focus on temporal case B.    </w:t>
            </w:r>
          </w:p>
          <w:p w14:paraId="4B0371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>Companies will prioritize simulations on indirect method.   Companies can bring simulations on direct method and should report what method is being used.</w:t>
            </w:r>
          </w:p>
          <w:p w14:paraId="2E380E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>Measurement event prediction results are expected in RAN2#129</w:t>
            </w:r>
          </w:p>
          <w:p w14:paraId="37AF7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  <w:t>Agreements on simulation assumptions</w:t>
            </w:r>
          </w:p>
          <w:p w14:paraId="67730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 xml:space="preserve">Companies will focus on sub-case 2 for measurement event prediction.   Companies can simulate other sub-cases if they wish and report what they are using. </w:t>
            </w:r>
          </w:p>
          <w:p w14:paraId="46D38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  <w:t>Agreements on inputs/outputs and KPIs</w:t>
            </w:r>
          </w:p>
          <w:p w14:paraId="799C0F4D">
            <w:pPr>
              <w:pStyle w:val="16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>For indirect measurement event prediction, the intermediate output (i.e., the output of RRM prediction model) is RSRP of serving/neighboring cells.  The final output is the expected occurrence time of a certain measurement event (ex. event A3).</w:t>
            </w:r>
          </w:p>
          <w:p w14:paraId="7303E8F1">
            <w:pPr>
              <w:pStyle w:val="16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>For direct measurement event prediction, the model output is the probability of event occurrence within a time window.</w:t>
            </w:r>
          </w:p>
          <w:p w14:paraId="780C5C02">
            <w:pPr>
              <w:pStyle w:val="15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A3 event prediction should follow legacy rules (i.e. the “predicted” conditions have to persist for the duration of TTT).  </w:t>
            </w:r>
          </w:p>
          <w:p w14:paraId="0D32BFAD">
            <w:pPr>
              <w:pStyle w:val="15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As baseline, we will use RLF event prediction KPI:</w:t>
            </w:r>
          </w:p>
          <w:p w14:paraId="6EF00891">
            <w:pPr>
              <w:pStyle w:val="15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for indirect: F1 score.  the following can be reported: RSRP difference, missed event detection, false event detection.  FFS how to define F1 score.  </w:t>
            </w:r>
          </w:p>
          <w:p w14:paraId="09858FC6">
            <w:pPr>
              <w:pStyle w:val="15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time difference of true time event reporting triggered and predicted time event reporting triggered, true event prediction. </w:t>
            </w:r>
          </w:p>
          <w:p w14:paraId="63E96463">
            <w:pPr>
              <w:pStyle w:val="15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direct: F1 score.  The following can be reported: missed event detection, false event detection,</w:t>
            </w:r>
          </w:p>
          <w:p w14:paraId="0BBD126B">
            <w:pPr>
              <w:pStyle w:val="15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Continue discussion over email discussion to see if there is a difference.  </w:t>
            </w:r>
          </w:p>
          <w:p w14:paraId="2D721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</w:p>
          <w:p w14:paraId="50ADC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  <w:t>Agreements in RAN2#128</w:t>
            </w:r>
          </w:p>
          <w:p w14:paraId="64720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  <w:t>Agreements on event prediction</w:t>
            </w:r>
          </w:p>
          <w:p w14:paraId="04F7B851">
            <w:pPr>
              <w:pStyle w:val="15"/>
              <w:ind w:left="36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1 Agree to listed 4 definitions of indirect measurement event prediction </w:t>
            </w:r>
          </w:p>
          <w:p w14:paraId="2E66B160">
            <w:pPr>
              <w:pStyle w:val="15"/>
              <w:ind w:left="544"/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Indirect measurement event prediction for temporal domain case A:</w:t>
            </w:r>
          </w:p>
          <w:p w14:paraId="34AF8153">
            <w:pPr>
              <w:pStyle w:val="15"/>
              <w:ind w:left="544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In indirect measurement event prediction, future measurement result(s) is predicted by a RRM measurement prediction model for intra-frequency temporal domain case A at first. Afterwards, predicted and optionally actual historical measurement result(s) are used to derive whether a measurement event at one future time instance occurs, without further involvement of an AI/ML model.</w:t>
            </w:r>
          </w:p>
          <w:p w14:paraId="4C0111A3">
            <w:pPr>
              <w:pStyle w:val="15"/>
              <w:ind w:left="544"/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Indirect measurement event prediction for temporal domain case B:</w:t>
            </w:r>
          </w:p>
          <w:p w14:paraId="600E74CD">
            <w:pPr>
              <w:pStyle w:val="15"/>
              <w:ind w:left="544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In indirect measurement event prediction, measurement result(s) is predicted by a RRM measurement prediction model  for intra-frequency temporal domain case B at first. Afterwards, predicted and optionally actual historical measurement result(s) are used to derive whether a measurement event at one time instance occurs, without further involvement of an AI/ML model.</w:t>
            </w:r>
          </w:p>
          <w:p w14:paraId="25A3CD77">
            <w:pPr>
              <w:pStyle w:val="15"/>
              <w:ind w:left="544"/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Indirect measurement event prediction for frequency domain:</w:t>
            </w:r>
          </w:p>
          <w:p w14:paraId="180E24C7">
            <w:pPr>
              <w:pStyle w:val="15"/>
              <w:ind w:left="544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In indirect measurement event prediction, measurement result(s) is predicted by a RRM measurement prediction model in frequency domain at first. Afterwards, predicted and optional actual historical measurement result(s) of serving cell are used to derive whether a measurement event at one time instance occurs, without further involvement of an AI/ML model.</w:t>
            </w:r>
          </w:p>
          <w:p w14:paraId="71A591E6">
            <w:pPr>
              <w:pStyle w:val="15"/>
              <w:ind w:left="544"/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Indirect measurement event prediction for spatial domain:</w:t>
            </w:r>
          </w:p>
          <w:p w14:paraId="77DB19D0">
            <w:pPr>
              <w:pStyle w:val="15"/>
              <w:ind w:left="544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In indirect measurement event prediction, measurement result(s) is predicted by a RRM measurement prediction model in spatial domain at first. Afterwards, predicted measurement result(s) 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 xml:space="preserve">and actual measurement results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are used to derive whether a measurement event at one time instance occurs, without further involvement of an AI/ML model</w:t>
            </w:r>
          </w:p>
          <w:p w14:paraId="2B7A4B1B">
            <w:pPr>
              <w:pStyle w:val="15"/>
              <w:ind w:left="36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input of model for RRM measurement prediction can be reused as baseline for corresponding direct measurement event prediction. Additional input(s) is also allowed.</w:t>
            </w:r>
          </w:p>
          <w:p w14:paraId="0DA01F1B">
            <w:pPr>
              <w:pStyle w:val="15"/>
              <w:ind w:left="36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For intra-frequency temporal domain case B indirect measurement event prediction is taken as baseline. Direct prediction is optional. </w:t>
            </w:r>
          </w:p>
          <w:p w14:paraId="52D60F8C">
            <w:pPr>
              <w:pStyle w:val="15"/>
              <w:ind w:left="36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To agree following definition for true event prediction, false event detection and missed event detection for indirect measurement event prediction </w:t>
            </w:r>
          </w:p>
          <w:p w14:paraId="791F454C">
            <w:pPr>
              <w:pStyle w:val="15"/>
              <w:ind w:left="72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Counter n3(true event prediction): it increases by 1 when a real event occurs around a predicted event with ETD, whose range is [0, maximum ETD] or vice versa</w:t>
            </w:r>
          </w:p>
          <w:p w14:paraId="3FB273D7">
            <w:pPr>
              <w:pStyle w:val="15"/>
              <w:ind w:left="72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Counter n1(false event detection): it increases by 1 when no real event occurs around a predicted event with ETD, whose range is [0, maximum ETD]</w:t>
            </w:r>
          </w:p>
          <w:p w14:paraId="3C12C311">
            <w:pPr>
              <w:pStyle w:val="15"/>
              <w:ind w:left="72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Counter n2(missed event detection): it increases by 1 when no event is predicted around a real event with ETD, whose range is [0, maximum ETD]</w:t>
            </w:r>
          </w:p>
          <w:p w14:paraId="36D2335A">
            <w:pPr>
              <w:pStyle w:val="15"/>
              <w:ind w:left="36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To agree following definition for true event prediction, false event detection and missed event detection for direct measurement event prediction </w:t>
            </w:r>
          </w:p>
          <w:p w14:paraId="3908C4CF">
            <w:pPr>
              <w:pStyle w:val="15"/>
              <w:ind w:left="363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Counter n3’ (true event prediction): it increases by 1 when a real event occurs within the occurrence window of predicted event whose possibility is higher than a predefined threshold</w:t>
            </w:r>
          </w:p>
          <w:p w14:paraId="20730D1F">
            <w:pPr>
              <w:pStyle w:val="15"/>
              <w:ind w:left="72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Counter n1’ (false event detection): it increases by 1 when no real event occurs within the occurrence window of predicted event whose possibility is higher than a predefined threshold</w:t>
            </w:r>
          </w:p>
          <w:p w14:paraId="78CB2285">
            <w:pPr>
              <w:pStyle w:val="15"/>
              <w:ind w:left="72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Counter n2’ (missed event detection): it increases by 1 when a real event occurs, but it doesn’t fall in the occurrence window of any predicted event whose possibility is higher than a predefined threshold</w:t>
            </w:r>
          </w:p>
          <w:p w14:paraId="23F8345D">
            <w:pPr>
              <w:pStyle w:val="15"/>
              <w:ind w:left="36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Agree following definition of F1 score:</w:t>
            </w:r>
          </w:p>
          <w:p w14:paraId="03FDAAEE">
            <w:pPr>
              <w:pStyle w:val="15"/>
              <w:ind w:left="36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F1 score = 2*Precision*Recall/(Precision + Recall)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Formula_3 (13/14)</w:t>
            </w:r>
          </w:p>
          <w:p w14:paraId="35932974">
            <w:pPr>
              <w:pStyle w:val="15"/>
              <w:ind w:left="36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In addition to F1 score, precision and recall in following formula are optional metrics to report. (12/14)</w:t>
            </w:r>
          </w:p>
          <w:p w14:paraId="69AA1B6F">
            <w:pPr>
              <w:pStyle w:val="15"/>
              <w:ind w:left="72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Precision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= n3/(n1+n3)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Formula_1</w:t>
            </w:r>
          </w:p>
          <w:p w14:paraId="3DEB586D">
            <w:pPr>
              <w:pStyle w:val="15"/>
              <w:ind w:left="726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Recall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=n3/(n2+n3)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Formula_2</w:t>
            </w:r>
          </w:p>
          <w:p w14:paraId="08AC250B">
            <w:pPr>
              <w:pStyle w:val="15"/>
              <w:ind w:left="545"/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Note: for direct prediction, the counter should be n1’,n2’,n3’</w:t>
            </w:r>
          </w:p>
          <w:p w14:paraId="692FF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</w:p>
          <w:p w14:paraId="04644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  <w:t>Agreements in RAN2#129</w:t>
            </w:r>
          </w:p>
          <w:p w14:paraId="65AA2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  <w:t>Agreements on Measurement event case A</w:t>
            </w:r>
          </w:p>
          <w:p w14:paraId="56B14E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 xml:space="preserve">Most of the results show that the F1 score for prediction of measurement event is very good.   </w:t>
            </w:r>
          </w:p>
          <w:p w14:paraId="6CD8D3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>For handover decision option 3 and 2 AI/ML performs better than baseline (legacy) in terms of HO failure rate.</w:t>
            </w:r>
          </w:p>
          <w:p w14:paraId="10F8A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  <w:t>Agreements on Measurement event case B</w:t>
            </w:r>
          </w:p>
          <w:p w14:paraId="7EA928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 xml:space="preserve">Measurement event case B can have very good F1 score depending on filtering approach/PW </w:t>
            </w:r>
          </w:p>
          <w:p w14:paraId="5625A9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>F1 score is good for the PW window for case B (i.e. low PW)</w:t>
            </w:r>
          </w:p>
          <w:p w14:paraId="67A97E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>F1 score decreases with an increasing MRRT value</w:t>
            </w:r>
          </w:p>
          <w:p w14:paraId="6B68C5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>We will focus on finding cases that bring benefits to the system rather than trying to compare</w:t>
            </w:r>
          </w:p>
          <w:p w14:paraId="226AF8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 xml:space="preserve">With indirect measurement event prediction based on temporal domain Case B (MRRT=50%), the AI-based HO has a minor/no system-level performance (i.e., HOF rate and HO number) decrease compared with the legacy HO mechanism. </w:t>
            </w:r>
          </w:p>
          <w:p w14:paraId="42A50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  <w:t>Other agreements</w:t>
            </w: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</w:p>
          <w:p w14:paraId="4FE482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>Inter-frequency measurement event prediction will be considered for the specification impact study but no explicit simulations will be required.</w:t>
            </w:r>
          </w:p>
          <w:p w14:paraId="78F49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>Agreements on direct measurement event prediction</w:t>
            </w:r>
          </w:p>
          <w:p w14:paraId="1B759E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>F1 score for direct measurement is very good based on the current simulation results.</w:t>
            </w:r>
          </w:p>
        </w:tc>
      </w:tr>
    </w:tbl>
    <w:p w14:paraId="4E679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</w:pPr>
    </w:p>
    <w:p w14:paraId="2CD3F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  <w:t xml:space="preserve">RAN2 agreed the definition of indirect measurement event prediction for intra-frequency temporal domain case A, intra-frequency temporal domain case B, frequency domain and spatial domain. Taking temporal domain case A as an example, in indirect measurement event prediction, future measurement result(s) is predicted by a RRM measurement prediction model for intra-frequency temporal domain case A at first. Afterwards, predicted and optionally actual historical measurement result(s) are used to derive whether a measurement event at one future time instance occurs, without further involvement of an AI/ML model. </w:t>
      </w:r>
      <w:r>
        <w:rPr>
          <w:rFonts w:hint="default" w:ascii="Times New Roman" w:hAnsi="Times New Roman" w:eastAsia="等线" w:cs="Times New Roman"/>
          <w:bCs/>
          <w:iCs/>
          <w:sz w:val="20"/>
          <w:szCs w:val="20"/>
          <w:lang w:val="en-US" w:eastAsia="zh-CN"/>
        </w:rPr>
        <w:t>For indirect measurement event prediction, the intermediate output (i.e., the output of RRM prediction model) is RSRP of serving/neighboring cells.  The final output is the expected occurrence time of a certain measurement event</w:t>
      </w:r>
      <w:r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  <w:t xml:space="preserve">. </w:t>
      </w:r>
    </w:p>
    <w:p w14:paraId="7917C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  <w:t xml:space="preserve">It can be seen that for indirect measurement event prediction,the </w:t>
      </w:r>
      <w:r>
        <w:rPr>
          <w:rFonts w:hint="default" w:ascii="Times New Roman" w:hAnsi="Times New Roman" w:eastAsia="等线" w:cs="Times New Roman"/>
          <w:bCs/>
          <w:iCs/>
          <w:sz w:val="20"/>
          <w:szCs w:val="20"/>
          <w:lang w:val="en-US" w:eastAsia="zh-CN"/>
        </w:rPr>
        <w:t>intermediate output</w:t>
      </w:r>
      <w:r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  <w:t xml:space="preserve"> is same as that for RRM measurement prediction. The discussion and conclusion can be reused.</w:t>
      </w:r>
    </w:p>
    <w:p w14:paraId="0A5CBF66">
      <w:pPr>
        <w:numPr>
          <w:ilvl w:val="0"/>
          <w:numId w:val="0"/>
        </w:numPr>
        <w:tabs>
          <w:tab w:val="left" w:pos="420"/>
        </w:tabs>
        <w:spacing w:after="180" w:line="240" w:lineRule="exact"/>
        <w:ind w:left="0" w:leftChars="0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Proposal 1: 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for the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intermediate output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of indirect measurement event prediction, it is proposed to reuse the conclusion on RRM measurement prediction.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</w:t>
      </w:r>
    </w:p>
    <w:p w14:paraId="6EB64EE7">
      <w:pPr>
        <w:spacing w:after="180" w:line="240" w:lineRule="exact"/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For direct measurement event prediction, the model output is the probability of event occurrence within a time window. And for indirect </w:t>
      </w:r>
      <w:r>
        <w:rPr>
          <w:rFonts w:hint="default" w:ascii="Times New Roman" w:hAnsi="Times New Roman" w:eastAsia="等线" w:cs="Times New Roman"/>
          <w:bCs/>
          <w:iCs/>
          <w:sz w:val="20"/>
          <w:szCs w:val="20"/>
          <w:lang w:val="en-US" w:eastAsia="zh-CN"/>
        </w:rPr>
        <w:t>measurement event prediction, final output is the expected occurrence time of a certain measurement event</w:t>
      </w:r>
      <w:r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  <w:t xml:space="preserve">. In legacy, there is no RAN4 requirements on the 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probability of event occurrence or </w:t>
      </w:r>
      <w:r>
        <w:rPr>
          <w:rFonts w:hint="default" w:ascii="Times New Roman" w:hAnsi="Times New Roman" w:eastAsia="等线" w:cs="Times New Roman"/>
          <w:bCs/>
          <w:iCs/>
          <w:sz w:val="20"/>
          <w:szCs w:val="20"/>
          <w:lang w:val="en-US" w:eastAsia="zh-CN"/>
        </w:rPr>
        <w:t>expected occurrence time of a</w:t>
      </w:r>
      <w:r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  <w:t xml:space="preserve"> event. It is necessary to discuss whether and how to define related RAN4 requirements.</w:t>
      </w:r>
    </w:p>
    <w:p w14:paraId="75DB2688">
      <w:pPr>
        <w:spacing w:after="180" w:line="240" w:lineRule="exact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2: </w:t>
      </w:r>
      <w:bookmarkStart w:id="9" w:name="_GoBack"/>
      <w:bookmarkEnd w:id="9"/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for the final output of measurement event prediction (e.g. the </w:t>
      </w: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 xml:space="preserve">probability of event occurrence for direct prediction or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expected occurrence time of a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event for indirect prediction), it is proposed to discuss whether and how to define RRM requirements.  </w:t>
      </w:r>
    </w:p>
    <w:p w14:paraId="6CB024B6">
      <w:pPr>
        <w:spacing w:after="180" w:line="240" w:lineRule="exact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</w:p>
    <w:bookmarkEnd w:id="7"/>
    <w:bookmarkEnd w:id="8"/>
    <w:p w14:paraId="2F63EDFF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212FE524">
      <w:pPr>
        <w:tabs>
          <w:tab w:val="left" w:pos="1134"/>
        </w:tabs>
        <w:spacing w:after="180" w:line="240" w:lineRule="exact"/>
        <w:rPr>
          <w:rFonts w:hint="eastAsia"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RAN4 impacts for measurement event prediction</w:t>
      </w:r>
      <w:r>
        <w:rPr>
          <w:rFonts w:hint="eastAsia" w:ascii="Times New Roman" w:hAnsi="Times New Roman" w:eastAsia="宋体"/>
          <w:sz w:val="20"/>
          <w:szCs w:val="20"/>
        </w:rPr>
        <w:t>. The proposals are:</w:t>
      </w:r>
    </w:p>
    <w:p w14:paraId="76851FFD">
      <w:pPr>
        <w:numPr>
          <w:ilvl w:val="0"/>
          <w:numId w:val="0"/>
        </w:numPr>
        <w:tabs>
          <w:tab w:val="left" w:pos="420"/>
        </w:tabs>
        <w:spacing w:after="180" w:line="240" w:lineRule="exact"/>
        <w:ind w:left="0" w:leftChars="0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Proposal 1: 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for the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intermediate output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of indirect measurement event prediction, it is proposed to reuse the conclusion on RRM measurement prediction.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</w:t>
      </w:r>
    </w:p>
    <w:p w14:paraId="6B67161F">
      <w:pPr>
        <w:spacing w:after="180" w:line="240" w:lineRule="exact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2: for the final output of measurement event prediction (e.g. the </w:t>
      </w: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 xml:space="preserve">probability of event occurrence for direct prediction or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expected occurrence time of a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event for indirect prediction), it is proposed to discuss whether and how to define RRM requirements.  </w:t>
      </w:r>
    </w:p>
    <w:p w14:paraId="03620756">
      <w:pPr>
        <w:tabs>
          <w:tab w:val="left" w:pos="1134"/>
        </w:tabs>
        <w:spacing w:after="180" w:line="240" w:lineRule="exact"/>
        <w:rPr>
          <w:rFonts w:hint="eastAsia" w:ascii="Times New Roman" w:hAnsi="Times New Roman" w:eastAsia="宋体"/>
          <w:sz w:val="20"/>
          <w:szCs w:val="20"/>
        </w:rPr>
      </w:pPr>
    </w:p>
    <w:p w14:paraId="5F08F1C5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5AA1F4B3">
      <w:pPr>
        <w:pStyle w:val="13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242393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Revised SID on AIML for mobility in NR</w:t>
      </w:r>
    </w:p>
    <w:p w14:paraId="063D64F6">
      <w:pPr>
        <w:pStyle w:val="13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R4-2502594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AI/ML Mobility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Nokia</w:t>
      </w:r>
    </w:p>
    <w:p w14:paraId="03C37C82">
      <w:pPr>
        <w:pStyle w:val="13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R4-2420095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AI/ML Mobility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Nokia</w:t>
      </w:r>
    </w:p>
    <w:p w14:paraId="738B2F24">
      <w:pPr>
        <w:pStyle w:val="13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R4-2416855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AI/ML Mobility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Nokia</w:t>
      </w:r>
    </w:p>
    <w:p w14:paraId="720AFE6D">
      <w:pPr>
        <w:pStyle w:val="13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3GPP TR 38.744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Study on Artificial Intelligence (AI)/Machine Learning (ML) for mobility in NR</w:t>
      </w:r>
    </w:p>
    <w:p w14:paraId="544A76EC">
      <w:pPr>
        <w:pStyle w:val="13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R2-2404102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Report of 3GPP TSG RAN WG2 meeting #125bis</w:t>
      </w:r>
    </w:p>
    <w:p w14:paraId="70221EBB">
      <w:pPr>
        <w:pStyle w:val="13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Report of 3GPP TSG RAN WG2 meeting #126</w:t>
      </w:r>
    </w:p>
    <w:p w14:paraId="49198761">
      <w:pPr>
        <w:pStyle w:val="13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49C24BC8">
      <w:pPr>
        <w:pStyle w:val="13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37201D62">
      <w:pPr>
        <w:pStyle w:val="13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6079E5E1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92CB08"/>
    <w:multiLevelType w:val="singleLevel"/>
    <w:tmpl w:val="E792CB08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0A753BF9"/>
    <w:multiLevelType w:val="singleLevel"/>
    <w:tmpl w:val="0A753BF9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17A970A0"/>
    <w:multiLevelType w:val="multilevel"/>
    <w:tmpl w:val="17A970A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0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4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35210141"/>
    <w:multiLevelType w:val="multilevel"/>
    <w:tmpl w:val="352101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4C23962"/>
    <w:multiLevelType w:val="multilevel"/>
    <w:tmpl w:val="64C23962"/>
    <w:lvl w:ilvl="0" w:tentative="0">
      <w:start w:val="1"/>
      <w:numFmt w:val="decimal"/>
      <w:lvlText w:val="%1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6"/>
      <w:lvlText w:val=""/>
      <w:lvlJc w:val="left"/>
      <w:pPr>
        <w:tabs>
          <w:tab w:val="left" w:pos="9990"/>
        </w:tabs>
        <w:ind w:left="999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8913D23"/>
    <w:multiLevelType w:val="singleLevel"/>
    <w:tmpl w:val="78913D23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5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570FF"/>
    <w:rsid w:val="00510477"/>
    <w:rsid w:val="030F42DA"/>
    <w:rsid w:val="039B37C7"/>
    <w:rsid w:val="03B64756"/>
    <w:rsid w:val="05581271"/>
    <w:rsid w:val="05697CEB"/>
    <w:rsid w:val="0659725C"/>
    <w:rsid w:val="08320503"/>
    <w:rsid w:val="095F3199"/>
    <w:rsid w:val="0AB2039C"/>
    <w:rsid w:val="11144517"/>
    <w:rsid w:val="12E4180D"/>
    <w:rsid w:val="13BE2E36"/>
    <w:rsid w:val="13D33102"/>
    <w:rsid w:val="13E54515"/>
    <w:rsid w:val="154B4C98"/>
    <w:rsid w:val="17C90DC6"/>
    <w:rsid w:val="192432CE"/>
    <w:rsid w:val="1E262080"/>
    <w:rsid w:val="1EA13FCF"/>
    <w:rsid w:val="208B1571"/>
    <w:rsid w:val="20A67B9D"/>
    <w:rsid w:val="21B75A90"/>
    <w:rsid w:val="21F229A5"/>
    <w:rsid w:val="22F84732"/>
    <w:rsid w:val="29521D5A"/>
    <w:rsid w:val="296A6325"/>
    <w:rsid w:val="2A8275BB"/>
    <w:rsid w:val="2DCC054E"/>
    <w:rsid w:val="2EFF4953"/>
    <w:rsid w:val="2FED1FC2"/>
    <w:rsid w:val="31B53264"/>
    <w:rsid w:val="3331778D"/>
    <w:rsid w:val="351D1843"/>
    <w:rsid w:val="3850290E"/>
    <w:rsid w:val="39A706A6"/>
    <w:rsid w:val="3AF811CC"/>
    <w:rsid w:val="3FF257A0"/>
    <w:rsid w:val="41597CC1"/>
    <w:rsid w:val="44ED5522"/>
    <w:rsid w:val="45251780"/>
    <w:rsid w:val="486C7D0F"/>
    <w:rsid w:val="48BC1FC7"/>
    <w:rsid w:val="48BD345D"/>
    <w:rsid w:val="4A924F66"/>
    <w:rsid w:val="4AAA7A11"/>
    <w:rsid w:val="4CB30463"/>
    <w:rsid w:val="4D0F52FA"/>
    <w:rsid w:val="4F01352B"/>
    <w:rsid w:val="50AC3D18"/>
    <w:rsid w:val="517D38BF"/>
    <w:rsid w:val="521A547C"/>
    <w:rsid w:val="539B5A3F"/>
    <w:rsid w:val="56582839"/>
    <w:rsid w:val="5798278D"/>
    <w:rsid w:val="59A65848"/>
    <w:rsid w:val="5AAC5686"/>
    <w:rsid w:val="5C491F27"/>
    <w:rsid w:val="5CF63611"/>
    <w:rsid w:val="5E176D14"/>
    <w:rsid w:val="606210AF"/>
    <w:rsid w:val="617674D6"/>
    <w:rsid w:val="61D06D08"/>
    <w:rsid w:val="61DF3A9F"/>
    <w:rsid w:val="652470FF"/>
    <w:rsid w:val="676E7F3D"/>
    <w:rsid w:val="67A4673A"/>
    <w:rsid w:val="6AFE6DF4"/>
    <w:rsid w:val="6C642F64"/>
    <w:rsid w:val="6DB122F8"/>
    <w:rsid w:val="71997D14"/>
    <w:rsid w:val="71A82806"/>
    <w:rsid w:val="738F6E24"/>
    <w:rsid w:val="73C17630"/>
    <w:rsid w:val="73F67ACD"/>
    <w:rsid w:val="75A5650E"/>
    <w:rsid w:val="770B4D24"/>
    <w:rsid w:val="77B91A3C"/>
    <w:rsid w:val="77F160D3"/>
    <w:rsid w:val="79670D3F"/>
    <w:rsid w:val="79DA1477"/>
    <w:rsid w:val="7C187D58"/>
    <w:rsid w:val="7D796C4C"/>
    <w:rsid w:val="7DB2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  <w:lang w:val="en-US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</w:style>
  <w:style w:type="paragraph" w:styleId="7">
    <w:name w:val="Body Text"/>
    <w:basedOn w:val="1"/>
    <w:qFormat/>
    <w:uiPriority w:val="0"/>
  </w:style>
  <w:style w:type="paragraph" w:styleId="8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10">
    <w:name w:val="Table Grid"/>
    <w:basedOn w:val="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4">
    <w:name w:val="3GPP Normal Text"/>
    <w:basedOn w:val="7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paragraph" w:customStyle="1" w:styleId="15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16">
    <w:name w:val="Agreement"/>
    <w:basedOn w:val="1"/>
    <w:next w:val="15"/>
    <w:qFormat/>
    <w:uiPriority w:val="99"/>
    <w:pPr>
      <w:numPr>
        <w:ilvl w:val="0"/>
        <w:numId w:val="2"/>
      </w:numPr>
      <w:tabs>
        <w:tab w:val="left" w:pos="1619"/>
      </w:tabs>
      <w:spacing w:before="60"/>
      <w:ind w:left="1616" w:hanging="357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2024-11-04T01:51:00Z</dcterms:created>
  <dc:creator>cmcc</dc:creator>
  <cp:lastModifiedBy>Jingjing Chen_CMCC</cp:lastModifiedBy>
  <dcterms:modified xsi:type="dcterms:W3CDTF">2025-03-28T07:39:52Z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99CA3F75D69E410D84A4BB8A3F58CF13</vt:lpwstr>
  </property>
</Properties>
</file>